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E4BD2" w14:textId="77777777" w:rsidR="00CA33E2" w:rsidRDefault="00CA33E2" w:rsidP="00C4248B">
      <w:pPr>
        <w:rPr>
          <w:rFonts w:cstheme="minorHAnsi"/>
          <w:b/>
          <w:bCs/>
          <w:sz w:val="20"/>
        </w:rPr>
      </w:pPr>
    </w:p>
    <w:p w14:paraId="5579BCE4" w14:textId="77777777" w:rsidR="006D45B6" w:rsidRPr="006D45B6" w:rsidRDefault="006D45B6" w:rsidP="00C4248B">
      <w:pPr>
        <w:rPr>
          <w:rFonts w:cstheme="minorHAnsi"/>
          <w:b/>
          <w:bCs/>
          <w:sz w:val="23"/>
          <w:szCs w:val="23"/>
        </w:rPr>
      </w:pPr>
    </w:p>
    <w:p w14:paraId="327A7037" w14:textId="5125783B" w:rsidR="006D45B6" w:rsidRPr="006D45B6" w:rsidRDefault="006D45B6" w:rsidP="006D45B6">
      <w:pPr>
        <w:rPr>
          <w:rFonts w:cstheme="minorHAnsi"/>
          <w:b/>
          <w:bCs/>
        </w:rPr>
      </w:pPr>
      <w:r w:rsidRPr="006D45B6">
        <w:rPr>
          <w:rFonts w:cstheme="minorHAnsi"/>
          <w:b/>
          <w:bCs/>
        </w:rPr>
        <w:t xml:space="preserve">Institutional Advancement Monitoring Report - September 2025 </w:t>
      </w:r>
    </w:p>
    <w:p w14:paraId="1E2FB637" w14:textId="77777777" w:rsidR="006D45B6" w:rsidRPr="006D45B6" w:rsidRDefault="006D45B6" w:rsidP="006D45B6">
      <w:pPr>
        <w:rPr>
          <w:rFonts w:cstheme="minorHAnsi"/>
        </w:rPr>
      </w:pPr>
    </w:p>
    <w:p w14:paraId="276E2A5B" w14:textId="77777777" w:rsidR="006D45B6" w:rsidRPr="006D45B6" w:rsidRDefault="006D45B6" w:rsidP="006D45B6">
      <w:pPr>
        <w:rPr>
          <w:rFonts w:cstheme="minorHAnsi"/>
        </w:rPr>
      </w:pPr>
      <w:r w:rsidRPr="006D45B6">
        <w:rPr>
          <w:rFonts w:cstheme="minorHAnsi"/>
        </w:rPr>
        <w:t xml:space="preserve">The Institutional Advancement Division at Richland Community College encompasses the Foundation, the Office of Grants &amp; Sponsored Programs, Marketing Department and Campus Events. Together, these departments connect Richland’s mission—to empower individuals through learning and to forge partnerships that grow communities—with the College’s vision of being the best and first choice for education. Guided by our mission and vision, our work is focused on securing resources, telling Richland’s story, building meaningful relationships, and expanding opportunities for both students and the community. </w:t>
      </w:r>
    </w:p>
    <w:p w14:paraId="485BBEBF" w14:textId="77777777" w:rsidR="006D45B6" w:rsidRPr="006D45B6" w:rsidRDefault="006D45B6" w:rsidP="006D45B6">
      <w:pPr>
        <w:rPr>
          <w:rFonts w:cstheme="minorHAnsi"/>
        </w:rPr>
      </w:pPr>
    </w:p>
    <w:p w14:paraId="02B18F7D" w14:textId="77777777" w:rsidR="006D45B6" w:rsidRPr="006D45B6" w:rsidRDefault="006D45B6" w:rsidP="006D45B6">
      <w:pPr>
        <w:rPr>
          <w:rFonts w:cstheme="minorHAnsi"/>
        </w:rPr>
      </w:pPr>
      <w:r w:rsidRPr="006D45B6">
        <w:rPr>
          <w:rFonts w:cstheme="minorHAnsi"/>
        </w:rPr>
        <w:t xml:space="preserve">This collective impact is evident in Richland’s end statements. Because of Richland, students will have opportunities to successfully pursue training and education at and beyond the community college. Equally important, because of Richland’s partnerships with the community, the economic and business climate in our service area will be significantly enhanced. Whether through a scholarship that removes a financial barrier, a grant that supports innovative workforce training, a campaign that amplifies our story, or an event that connects students and community partners, Institutional Advancement is helping to shape the future of our students and our community. </w:t>
      </w:r>
    </w:p>
    <w:p w14:paraId="70DA69AD" w14:textId="77777777" w:rsidR="006D45B6" w:rsidRPr="006D45B6" w:rsidRDefault="006D45B6" w:rsidP="006D45B6">
      <w:pPr>
        <w:rPr>
          <w:rFonts w:cstheme="minorHAnsi"/>
          <w:b/>
          <w:bCs/>
        </w:rPr>
      </w:pPr>
    </w:p>
    <w:p w14:paraId="53796A4A" w14:textId="25824DD9" w:rsidR="006D45B6" w:rsidRPr="006D45B6" w:rsidRDefault="006D45B6" w:rsidP="006D45B6">
      <w:pPr>
        <w:rPr>
          <w:rFonts w:cstheme="minorHAnsi"/>
          <w:b/>
          <w:bCs/>
        </w:rPr>
      </w:pPr>
      <w:r w:rsidRPr="006D45B6">
        <w:rPr>
          <w:rFonts w:cstheme="minorHAnsi"/>
          <w:b/>
          <w:bCs/>
        </w:rPr>
        <w:t xml:space="preserve"> Richland Community College Foundation </w:t>
      </w:r>
    </w:p>
    <w:p w14:paraId="4410F4E1" w14:textId="04E69F03" w:rsidR="006D45B6" w:rsidRPr="006D45B6" w:rsidRDefault="006D45B6" w:rsidP="006D45B6">
      <w:pPr>
        <w:rPr>
          <w:rFonts w:cstheme="minorHAnsi"/>
        </w:rPr>
      </w:pPr>
      <w:r>
        <w:rPr>
          <w:rFonts w:cstheme="minorHAnsi"/>
        </w:rPr>
        <w:br/>
      </w:r>
      <w:r w:rsidRPr="006D45B6">
        <w:rPr>
          <w:rFonts w:cstheme="minorHAnsi"/>
        </w:rPr>
        <w:t xml:space="preserve">The Richland Community College Foundation continues to serve as a catalyst for student success and community transformation. In FY25, the Foundation raised more than $2.17 million in gifts, awarded $1.83 million in scholarships to 1,050 students, and invested $1.13 million in programs and capital projects at the College. These numbers tell only part of the </w:t>
      </w:r>
      <w:r w:rsidR="00862F32" w:rsidRPr="006D45B6">
        <w:rPr>
          <w:rFonts w:cstheme="minorHAnsi"/>
        </w:rPr>
        <w:t xml:space="preserve">story; </w:t>
      </w:r>
      <w:r w:rsidRPr="006D45B6">
        <w:rPr>
          <w:rFonts w:cstheme="minorHAnsi"/>
        </w:rPr>
        <w:t xml:space="preserve">they represent transformed lives. One powerful example is the Derek Anson Winchester Memorial Scholarship, established to honor a Richland graduate and ER nurse, which now paves the way for future healthcare workers to follow in his footsteps. </w:t>
      </w:r>
    </w:p>
    <w:p w14:paraId="598F3547" w14:textId="77777777" w:rsidR="006D45B6" w:rsidRPr="006D45B6" w:rsidRDefault="006D45B6" w:rsidP="006D45B6">
      <w:pPr>
        <w:rPr>
          <w:rFonts w:cstheme="minorHAnsi"/>
        </w:rPr>
      </w:pPr>
    </w:p>
    <w:p w14:paraId="65FBC0F4" w14:textId="77777777" w:rsidR="006D45B6" w:rsidRPr="006D45B6" w:rsidRDefault="006D45B6" w:rsidP="006D45B6">
      <w:pPr>
        <w:rPr>
          <w:rFonts w:cstheme="minorHAnsi"/>
        </w:rPr>
      </w:pPr>
      <w:r w:rsidRPr="006D45B6">
        <w:rPr>
          <w:rFonts w:cstheme="minorHAnsi"/>
        </w:rPr>
        <w:t xml:space="preserve">The Foundation also plays a critical role in reducing barriers, investing $61,000 in direct student support to address challenges such as transportation, technology access, and emergency needs. With an endowment of $26.1 million, the Foundation is building sustainability that ensures long-term support for generations of students. Employee participation in giving reached 58%, reflecting a culture of philanthropy and shared investment in student success. </w:t>
      </w:r>
    </w:p>
    <w:p w14:paraId="06263A85" w14:textId="77777777" w:rsidR="006D45B6" w:rsidRPr="006D45B6" w:rsidRDefault="006D45B6" w:rsidP="006D45B6">
      <w:pPr>
        <w:rPr>
          <w:rFonts w:cstheme="minorHAnsi"/>
        </w:rPr>
      </w:pPr>
    </w:p>
    <w:p w14:paraId="039FA6AF" w14:textId="77777777" w:rsidR="006D45B6" w:rsidRPr="006D45B6" w:rsidRDefault="006D45B6" w:rsidP="006D45B6">
      <w:pPr>
        <w:rPr>
          <w:rFonts w:cstheme="minorHAnsi"/>
        </w:rPr>
      </w:pPr>
      <w:r w:rsidRPr="006D45B6">
        <w:rPr>
          <w:rFonts w:cstheme="minorHAnsi"/>
        </w:rPr>
        <w:t xml:space="preserve">Through our work, the Foundation not only fuels individual opportunity but also supports workforce development and community resilience. Every dollar raised connects directly back to Richland’s mission and values, strengthening families, businesses, and the regional economy. </w:t>
      </w:r>
    </w:p>
    <w:p w14:paraId="1ECA3B0D" w14:textId="77777777" w:rsidR="006D45B6" w:rsidRPr="006D45B6" w:rsidRDefault="006D45B6" w:rsidP="006D45B6">
      <w:pPr>
        <w:rPr>
          <w:rFonts w:cstheme="minorHAnsi"/>
        </w:rPr>
      </w:pPr>
    </w:p>
    <w:p w14:paraId="35F98ADB" w14:textId="34C11135" w:rsidR="006D45B6" w:rsidRPr="006D45B6" w:rsidRDefault="006D45B6" w:rsidP="006D45B6">
      <w:pPr>
        <w:rPr>
          <w:rFonts w:cstheme="minorHAnsi"/>
        </w:rPr>
      </w:pPr>
      <w:r w:rsidRPr="006D45B6">
        <w:rPr>
          <w:rFonts w:cstheme="minorHAnsi"/>
          <w:b/>
          <w:bCs/>
        </w:rPr>
        <w:t xml:space="preserve">Grants &amp; Sponsored Programs </w:t>
      </w:r>
    </w:p>
    <w:p w14:paraId="51C82C0A" w14:textId="4B5FC979" w:rsidR="006D45B6" w:rsidRPr="006D45B6" w:rsidRDefault="006D45B6" w:rsidP="006D45B6">
      <w:pPr>
        <w:rPr>
          <w:rFonts w:cstheme="minorHAnsi"/>
        </w:rPr>
      </w:pPr>
      <w:r>
        <w:rPr>
          <w:rFonts w:cstheme="minorHAnsi"/>
        </w:rPr>
        <w:br/>
      </w:r>
      <w:r w:rsidRPr="006D45B6">
        <w:rPr>
          <w:rFonts w:cstheme="minorHAnsi"/>
        </w:rPr>
        <w:t xml:space="preserve">The Office of Grants &amp; Sponsored Programs has invested the past year in creating the infrastructure required to sustain long-term growth. A grant readiness checklist and internal audits are guiding the development of standardized practices, while a new Grants Management Policy and Procedure Handbook is being finalized to ensure consistent development, submission, and compliance. Equally important, the office has clarified roles and responsibilities, are training staff in best practices, and began embedding accountability into every phase of the grant lifecycle. </w:t>
      </w:r>
    </w:p>
    <w:p w14:paraId="074E5C85" w14:textId="77777777" w:rsidR="006D45B6" w:rsidRPr="006D45B6" w:rsidRDefault="006D45B6" w:rsidP="006D45B6">
      <w:pPr>
        <w:rPr>
          <w:rFonts w:cstheme="minorHAnsi"/>
        </w:rPr>
      </w:pPr>
      <w:r w:rsidRPr="006D45B6">
        <w:rPr>
          <w:rFonts w:cstheme="minorHAnsi"/>
        </w:rPr>
        <w:t xml:space="preserve"> </w:t>
      </w:r>
    </w:p>
    <w:p w14:paraId="29655F1A" w14:textId="77777777" w:rsidR="006D45B6" w:rsidRDefault="006D45B6" w:rsidP="006D45B6">
      <w:pPr>
        <w:rPr>
          <w:rFonts w:cstheme="minorHAnsi"/>
        </w:rPr>
      </w:pPr>
      <w:r w:rsidRPr="006D45B6">
        <w:rPr>
          <w:rFonts w:cstheme="minorHAnsi"/>
        </w:rPr>
        <w:t xml:space="preserve">This internal work is already paying dividends. Richland is preparing a $7.3 million federal request to the U.S. </w:t>
      </w:r>
    </w:p>
    <w:p w14:paraId="2450470F" w14:textId="77777777" w:rsidR="006D45B6" w:rsidRDefault="006D45B6" w:rsidP="006D45B6">
      <w:pPr>
        <w:rPr>
          <w:rFonts w:cstheme="minorHAnsi"/>
        </w:rPr>
      </w:pPr>
    </w:p>
    <w:p w14:paraId="680E3DFE" w14:textId="77777777" w:rsidR="006D45B6" w:rsidRDefault="006D45B6" w:rsidP="006D45B6">
      <w:pPr>
        <w:rPr>
          <w:rFonts w:cstheme="minorHAnsi"/>
        </w:rPr>
      </w:pPr>
    </w:p>
    <w:p w14:paraId="0FC4CA9C" w14:textId="36C2BE60" w:rsidR="006D45B6" w:rsidRDefault="006D45B6" w:rsidP="006D45B6">
      <w:pPr>
        <w:rPr>
          <w:rFonts w:cstheme="minorHAnsi"/>
        </w:rPr>
      </w:pPr>
      <w:r w:rsidRPr="006D45B6">
        <w:rPr>
          <w:rFonts w:cstheme="minorHAnsi"/>
        </w:rPr>
        <w:t xml:space="preserve">Economic Development Administration to expand its Commercial Driver’s License (CDL) Training Program. The </w:t>
      </w:r>
    </w:p>
    <w:p w14:paraId="5E89A125" w14:textId="056D204E" w:rsidR="006D45B6" w:rsidRPr="006D45B6" w:rsidRDefault="006D45B6" w:rsidP="006D45B6">
      <w:pPr>
        <w:rPr>
          <w:rFonts w:cstheme="minorHAnsi"/>
        </w:rPr>
      </w:pPr>
      <w:r w:rsidRPr="006D45B6">
        <w:rPr>
          <w:rFonts w:cstheme="minorHAnsi"/>
        </w:rPr>
        <w:t xml:space="preserve">project includes construction of a 7,000-square-foot instructional facility, the addition of simulation labs, and a 100,000-square-foot outdoor training yard—resources that will significantly increase program capacity and student success. At the same time, the College is completing an application to the Illinois Department of Commerce &amp; Economic Opportunity’s Clean Energy Career Pathway Program, once again positioning Richland as a regional leader in renewable energy and advanced manufacturing training. These efforts build on annual state investments, including a $1.5 million appropriation from DCEO and $850,000 from the Illinois Community College Board’s Workforce Empowerment Initiative, which are already supporting expanded workforce development across the district. </w:t>
      </w:r>
      <w:r>
        <w:rPr>
          <w:rFonts w:cstheme="minorHAnsi"/>
        </w:rPr>
        <w:t>These new and continuing opportunities will align with our active</w:t>
      </w:r>
      <w:r w:rsidRPr="006D45B6">
        <w:rPr>
          <w:rFonts w:cstheme="minorHAnsi"/>
        </w:rPr>
        <w:t xml:space="preserve"> grant portfolio of 32 awards with a total funding value of $29.8 million. These funds support a wide range of academic, workforce, and student-success initiatives.   </w:t>
      </w:r>
    </w:p>
    <w:p w14:paraId="64400878" w14:textId="60F7DE3C" w:rsidR="006D45B6" w:rsidRPr="006D45B6" w:rsidRDefault="006D45B6" w:rsidP="006D45B6">
      <w:pPr>
        <w:rPr>
          <w:rFonts w:cstheme="minorHAnsi"/>
        </w:rPr>
      </w:pPr>
    </w:p>
    <w:p w14:paraId="023BE207" w14:textId="6E1C6950" w:rsidR="006D45B6" w:rsidRPr="006D45B6" w:rsidRDefault="006D45B6" w:rsidP="006D45B6">
      <w:pPr>
        <w:rPr>
          <w:rFonts w:cstheme="minorHAnsi"/>
        </w:rPr>
      </w:pPr>
      <w:r w:rsidRPr="006D45B6">
        <w:rPr>
          <w:rFonts w:cstheme="minorHAnsi"/>
        </w:rPr>
        <w:t>The Grants Office is also building a library of narrative templates and standardized budget models, reducing</w:t>
      </w:r>
      <w:r>
        <w:rPr>
          <w:rFonts w:cstheme="minorHAnsi"/>
        </w:rPr>
        <w:t xml:space="preserve"> </w:t>
      </w:r>
      <w:r w:rsidRPr="006D45B6">
        <w:rPr>
          <w:rFonts w:cstheme="minorHAnsi"/>
        </w:rPr>
        <w:t xml:space="preserve">redundancy while improving the College’s ability to compete for external funding. Systems for data accuracy and prospecting are now being formalized, ensuring that opportunities are not only pursued but strategically aligned with institutional priorities. </w:t>
      </w:r>
    </w:p>
    <w:p w14:paraId="4E5ADA2B" w14:textId="77777777" w:rsidR="006D45B6" w:rsidRPr="006D45B6" w:rsidRDefault="006D45B6" w:rsidP="006D45B6">
      <w:pPr>
        <w:rPr>
          <w:rFonts w:cstheme="minorHAnsi"/>
        </w:rPr>
      </w:pPr>
    </w:p>
    <w:p w14:paraId="0E70833C" w14:textId="77777777" w:rsidR="006D45B6" w:rsidRPr="006D45B6" w:rsidRDefault="006D45B6" w:rsidP="006D45B6">
      <w:pPr>
        <w:rPr>
          <w:rFonts w:cstheme="minorHAnsi"/>
        </w:rPr>
      </w:pPr>
      <w:r w:rsidRPr="006D45B6">
        <w:rPr>
          <w:rFonts w:cstheme="minorHAnsi"/>
        </w:rPr>
        <w:t xml:space="preserve">By strengthening these systems, our Grants team is creating a foundation that will enable Richland to expand its impact in areas such as healthcare, clean energy, logistics, and technology. Each successful grant extends the reach of the College’s mission, making it possible for students to pursue specialized training that connects them to in-demand careers both locally and beyond. </w:t>
      </w:r>
    </w:p>
    <w:p w14:paraId="0D675696" w14:textId="77777777" w:rsidR="006D45B6" w:rsidRPr="006D45B6" w:rsidRDefault="006D45B6" w:rsidP="006D45B6">
      <w:pPr>
        <w:rPr>
          <w:rFonts w:cstheme="minorHAnsi"/>
        </w:rPr>
      </w:pPr>
    </w:p>
    <w:p w14:paraId="194A2BB3" w14:textId="77777777" w:rsidR="006D45B6" w:rsidRPr="006D45B6" w:rsidRDefault="006D45B6" w:rsidP="006D45B6">
      <w:pPr>
        <w:rPr>
          <w:rFonts w:cstheme="minorHAnsi"/>
          <w:b/>
          <w:bCs/>
        </w:rPr>
      </w:pPr>
      <w:r w:rsidRPr="006D45B6">
        <w:rPr>
          <w:rFonts w:cstheme="minorHAnsi"/>
          <w:b/>
          <w:bCs/>
        </w:rPr>
        <w:t xml:space="preserve">Marketing Department  </w:t>
      </w:r>
    </w:p>
    <w:p w14:paraId="08ED30F1" w14:textId="467CFA72" w:rsidR="006D45B6" w:rsidRPr="006D45B6" w:rsidRDefault="006D45B6" w:rsidP="006D45B6">
      <w:pPr>
        <w:rPr>
          <w:rFonts w:cstheme="minorHAnsi"/>
        </w:rPr>
      </w:pPr>
      <w:r>
        <w:rPr>
          <w:rFonts w:cstheme="minorHAnsi"/>
        </w:rPr>
        <w:br/>
      </w:r>
      <w:r w:rsidRPr="006D45B6">
        <w:rPr>
          <w:rFonts w:cstheme="minorHAnsi"/>
        </w:rPr>
        <w:t xml:space="preserve">The Marketing Department has strategically elevated Richland’s visibility through integrated campaigns, storytelling, and digital engagement. Building on the momentum of “Best Decision Ever” during Community College Month and this year’s “Empowered Me” campaign, the team has leaned into cohesive messaging that unites student recruitment, donor engagement, and community outreach. </w:t>
      </w:r>
    </w:p>
    <w:p w14:paraId="0E7B5496" w14:textId="77777777" w:rsidR="006D45B6" w:rsidRPr="006D45B6" w:rsidRDefault="006D45B6" w:rsidP="006D45B6">
      <w:pPr>
        <w:rPr>
          <w:rFonts w:cstheme="minorHAnsi"/>
        </w:rPr>
      </w:pPr>
    </w:p>
    <w:p w14:paraId="2C68B976" w14:textId="77777777" w:rsidR="006D45B6" w:rsidRPr="006D45B6" w:rsidRDefault="006D45B6" w:rsidP="006D45B6">
      <w:pPr>
        <w:rPr>
          <w:rFonts w:cstheme="minorHAnsi"/>
        </w:rPr>
      </w:pPr>
      <w:r w:rsidRPr="006D45B6">
        <w:rPr>
          <w:rFonts w:cstheme="minorHAnsi"/>
        </w:rPr>
        <w:t xml:space="preserve">A major focus has been the launch of monthly program campaigns, each designed to spotlight individual academic and workforce programs at key points in the enrollment cycle. These targeted efforts not only raise awareness of Richland’s offerings but also create timely calls to action for prospective students. The department has also expanded Richland’s physical and digital footprint—introducing new truck wraps that carry the College’s branding across the district and rolling out a new website that improves design, navigation, and mobile accessibility. These efforts ensure that both the community and prospective students can engage with Richland seamlessly, whether they encounter the brand on the road, online, or on campus while maintaining flexibility to respond to changing enrollment cycles and community needs. More importantly, our Marketing team has expanded digital engagement and earned media presence, sharing the successes of Richland’s students, workforce initiatives, and community partnerships. </w:t>
      </w:r>
    </w:p>
    <w:p w14:paraId="489FBBD5" w14:textId="77777777" w:rsidR="006D45B6" w:rsidRPr="006D45B6" w:rsidRDefault="006D45B6" w:rsidP="006D45B6">
      <w:pPr>
        <w:rPr>
          <w:rFonts w:cstheme="minorHAnsi"/>
        </w:rPr>
      </w:pPr>
    </w:p>
    <w:p w14:paraId="32F5BDA9" w14:textId="77777777" w:rsidR="006D45B6" w:rsidRPr="006D45B6" w:rsidRDefault="006D45B6" w:rsidP="006D45B6">
      <w:pPr>
        <w:rPr>
          <w:rFonts w:cstheme="minorHAnsi"/>
        </w:rPr>
      </w:pPr>
      <w:r w:rsidRPr="006D45B6">
        <w:rPr>
          <w:rFonts w:cstheme="minorHAnsi"/>
        </w:rPr>
        <w:t xml:space="preserve">Together, these efforts ensure that Richland remains top-of-mind for prospective students, donors, and employers while reinforcing trust and recognition among community partners. Every campaign reflects the College’s mission to empower individuals and its vision of being the best and first choice for education. By celebrating achievements, showcasing innovative programs, and positioning Richland as both an educational leader and community partner, our Marketing Department inspires confidence in Richland and attracts the next generation of learners who will carry our mission forward. </w:t>
      </w:r>
    </w:p>
    <w:p w14:paraId="1879C9B9" w14:textId="77777777" w:rsidR="006D45B6" w:rsidRPr="006D45B6" w:rsidRDefault="006D45B6" w:rsidP="006D45B6">
      <w:pPr>
        <w:rPr>
          <w:rFonts w:cstheme="minorHAnsi"/>
        </w:rPr>
      </w:pPr>
    </w:p>
    <w:p w14:paraId="133C8312" w14:textId="77777777" w:rsidR="006D45B6" w:rsidRPr="006D45B6" w:rsidRDefault="006D45B6" w:rsidP="006D45B6">
      <w:pPr>
        <w:rPr>
          <w:rFonts w:cstheme="minorHAnsi"/>
        </w:rPr>
      </w:pPr>
      <w:r w:rsidRPr="006D45B6">
        <w:rPr>
          <w:rFonts w:cstheme="minorHAnsi"/>
        </w:rPr>
        <w:t xml:space="preserve"> </w:t>
      </w:r>
    </w:p>
    <w:p w14:paraId="3C98F8E9" w14:textId="099B66DB" w:rsidR="006D45B6" w:rsidRPr="006D45B6" w:rsidRDefault="006D45B6" w:rsidP="006D45B6">
      <w:pPr>
        <w:rPr>
          <w:rFonts w:cstheme="minorHAnsi"/>
          <w:b/>
          <w:bCs/>
        </w:rPr>
      </w:pPr>
      <w:r w:rsidRPr="006D45B6">
        <w:rPr>
          <w:rFonts w:cstheme="minorHAnsi"/>
          <w:b/>
          <w:bCs/>
        </w:rPr>
        <w:t xml:space="preserve">Campus Events &amp; Facility Rentals </w:t>
      </w:r>
    </w:p>
    <w:p w14:paraId="1E63F263" w14:textId="77777777" w:rsidR="006D45B6" w:rsidRDefault="006D45B6" w:rsidP="006D45B6">
      <w:pPr>
        <w:rPr>
          <w:rFonts w:cstheme="minorHAnsi"/>
        </w:rPr>
      </w:pPr>
    </w:p>
    <w:p w14:paraId="1D8DB52E" w14:textId="29C5A552" w:rsidR="006D45B6" w:rsidRPr="006D45B6" w:rsidRDefault="006D45B6" w:rsidP="006D45B6">
      <w:pPr>
        <w:rPr>
          <w:rFonts w:cstheme="minorHAnsi"/>
        </w:rPr>
      </w:pPr>
      <w:r w:rsidRPr="006D45B6">
        <w:rPr>
          <w:rFonts w:cstheme="minorHAnsi"/>
        </w:rPr>
        <w:t xml:space="preserve">Campus Events have taken significant steps toward developing a comprehensive framework that better aligns with Richland’s mission, operational capacity, and community engagement goals. Updates to the facility rental policy—now live at richland.edu/facilityrental—include new pricing and fees effective August 1, 2025, along with clearer expectations for external users. Importantly, events intended for personal use are no longer permitted, ensuring that campus facilities are reserved for mission-aligned and educational purposes. </w:t>
      </w:r>
    </w:p>
    <w:p w14:paraId="606C5A4F" w14:textId="77777777" w:rsidR="006D45B6" w:rsidRPr="006D45B6" w:rsidRDefault="006D45B6" w:rsidP="006D45B6">
      <w:pPr>
        <w:rPr>
          <w:rFonts w:cstheme="minorHAnsi"/>
        </w:rPr>
      </w:pPr>
    </w:p>
    <w:p w14:paraId="37D1762C" w14:textId="77777777" w:rsidR="006D45B6" w:rsidRPr="006D45B6" w:rsidRDefault="006D45B6" w:rsidP="006D45B6">
      <w:pPr>
        <w:rPr>
          <w:rFonts w:cstheme="minorHAnsi"/>
        </w:rPr>
      </w:pPr>
      <w:r w:rsidRPr="006D45B6">
        <w:rPr>
          <w:rFonts w:cstheme="minorHAnsi"/>
        </w:rPr>
        <w:t xml:space="preserve">Phase II of this initiative will occur in the coming year. A key component will be the introduction of a Post-Event Evaluation Form (richland.edu/posteventevaluation) for all events serving external audiences such as donors, alumni, community members, or prospective students. This process will help assess event impact, improve planning, and ensure consistent, high-quality experiences for guests. </w:t>
      </w:r>
    </w:p>
    <w:p w14:paraId="12180D80" w14:textId="77777777" w:rsidR="006D45B6" w:rsidRPr="006D45B6" w:rsidRDefault="006D45B6" w:rsidP="006D45B6">
      <w:pPr>
        <w:rPr>
          <w:rFonts w:cstheme="minorHAnsi"/>
        </w:rPr>
      </w:pPr>
    </w:p>
    <w:p w14:paraId="3FCA91E9" w14:textId="77777777" w:rsidR="006D45B6" w:rsidRPr="006D45B6" w:rsidRDefault="006D45B6" w:rsidP="006D45B6">
      <w:pPr>
        <w:rPr>
          <w:rFonts w:cstheme="minorHAnsi"/>
        </w:rPr>
      </w:pPr>
      <w:r w:rsidRPr="006D45B6">
        <w:rPr>
          <w:rFonts w:cstheme="minorHAnsi"/>
        </w:rPr>
        <w:t xml:space="preserve">Annually the college hosts over 280 events with 50 percent focused on student experience. Events of this nature help create a vibrant atmosphere that draws students in, leading to increased campus engagement which in turn boosts retention rates.  Additionally, 38 percent of events held annually focus on serving the community at large.  These events serve as important touchpoints where the community can experience the college’s culture and resources, creating stronger local partnerships.  The remaining 12 percent of events are dedicated to building the Foundation by highlighting the accomplishments of the college and to staff and faculty events that strive to increase connection.   </w:t>
      </w:r>
    </w:p>
    <w:p w14:paraId="594C6A24" w14:textId="77777777" w:rsidR="006D45B6" w:rsidRDefault="006D45B6" w:rsidP="006D45B6">
      <w:pPr>
        <w:rPr>
          <w:rFonts w:cstheme="minorHAnsi"/>
        </w:rPr>
      </w:pPr>
    </w:p>
    <w:p w14:paraId="523BA314" w14:textId="77777777" w:rsidR="006D45B6" w:rsidRPr="006D45B6" w:rsidRDefault="006D45B6" w:rsidP="006D45B6">
      <w:pPr>
        <w:rPr>
          <w:rFonts w:cstheme="minorHAnsi"/>
        </w:rPr>
      </w:pPr>
      <w:r w:rsidRPr="006D45B6">
        <w:rPr>
          <w:rFonts w:cstheme="minorHAnsi"/>
        </w:rPr>
        <w:t xml:space="preserve">Campus Events not only manages logistics—it embodies Richland’s role as a community hub. By providing accessible venues for cultural, professional, and civic engagement, the department strengthens partnerships and creates opportunities for students to connect with employers, mentors, and community leaders.  Campus Events directly contribute to both end statements: enriching students’ educational pathways while enhancing the region’s business and cultural climate.  </w:t>
      </w:r>
    </w:p>
    <w:p w14:paraId="643B4E67" w14:textId="77777777" w:rsidR="006D45B6" w:rsidRPr="006D45B6" w:rsidRDefault="006D45B6" w:rsidP="006D45B6">
      <w:pPr>
        <w:rPr>
          <w:rFonts w:cstheme="minorHAnsi"/>
        </w:rPr>
      </w:pPr>
    </w:p>
    <w:p w14:paraId="6390C064" w14:textId="77777777" w:rsidR="006D45B6" w:rsidRPr="006D45B6" w:rsidRDefault="006D45B6" w:rsidP="006D45B6">
      <w:pPr>
        <w:rPr>
          <w:rFonts w:cstheme="minorHAnsi"/>
          <w:b/>
          <w:bCs/>
        </w:rPr>
      </w:pPr>
      <w:r w:rsidRPr="006D45B6">
        <w:rPr>
          <w:rFonts w:cstheme="minorHAnsi"/>
          <w:b/>
          <w:bCs/>
        </w:rPr>
        <w:t xml:space="preserve">Conclusion  </w:t>
      </w:r>
    </w:p>
    <w:p w14:paraId="430F9440" w14:textId="77777777" w:rsidR="006D45B6" w:rsidRDefault="006D45B6" w:rsidP="006D45B6">
      <w:pPr>
        <w:rPr>
          <w:rFonts w:cstheme="minorHAnsi"/>
        </w:rPr>
      </w:pPr>
    </w:p>
    <w:p w14:paraId="379511E3" w14:textId="7B569142" w:rsidR="006D45B6" w:rsidRPr="006D45B6" w:rsidRDefault="006D45B6" w:rsidP="006D45B6">
      <w:pPr>
        <w:rPr>
          <w:rFonts w:cstheme="minorHAnsi"/>
        </w:rPr>
      </w:pPr>
      <w:r w:rsidRPr="006D45B6">
        <w:rPr>
          <w:rFonts w:cstheme="minorHAnsi"/>
        </w:rPr>
        <w:t xml:space="preserve">Institutional Advancement weaves Richland’s mission and vision into action. The Foundation provides direct financial support, ensuring students can pursue their goals without barriers. The Office of Grants &amp; Sponsored Programs secures external resources that expand opportunities for innovation and workforce development. The Marketing Department amplifies stories and strengthens the College’s identity, building trust and recognition throughout the district. Finally, the Campus Events Department creates spaces where the College and community meet, cultivating engagement that enriches cultural life and strengthens business partnerships. Together, these departments reflect and advance Richland’s mission to empower individuals through learning and to forge partnerships that grow communities. </w:t>
      </w:r>
    </w:p>
    <w:p w14:paraId="06E91993" w14:textId="77777777" w:rsidR="002A0499" w:rsidRPr="006D45B6" w:rsidRDefault="002A0499" w:rsidP="00C4248B">
      <w:pPr>
        <w:rPr>
          <w:rFonts w:cstheme="minorHAnsi"/>
        </w:rPr>
      </w:pPr>
    </w:p>
    <w:p w14:paraId="4904665E" w14:textId="77777777" w:rsidR="002A0499" w:rsidRPr="006D45B6" w:rsidRDefault="002A0499" w:rsidP="00C4248B">
      <w:pPr>
        <w:rPr>
          <w:rFonts w:ascii="Arial" w:hAnsi="Arial" w:cs="Arial"/>
        </w:rPr>
      </w:pPr>
    </w:p>
    <w:sectPr w:rsidR="002A0499" w:rsidRPr="006D45B6" w:rsidSect="002A0499">
      <w:headerReference w:type="even" r:id="rId8"/>
      <w:headerReference w:type="default" r:id="rId9"/>
      <w:footerReference w:type="default" r:id="rId10"/>
      <w:headerReference w:type="first" r:id="rId11"/>
      <w:type w:val="continuous"/>
      <w:pgSz w:w="12240" w:h="15840" w:code="1"/>
      <w:pgMar w:top="1440" w:right="1008" w:bottom="1440" w:left="100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9BD72" w14:textId="77777777" w:rsidR="00E25D4D" w:rsidRDefault="00E25D4D" w:rsidP="009B72D0">
      <w:r>
        <w:separator/>
      </w:r>
    </w:p>
  </w:endnote>
  <w:endnote w:type="continuationSeparator" w:id="0">
    <w:p w14:paraId="458A7E94" w14:textId="77777777" w:rsidR="00E25D4D" w:rsidRDefault="00E25D4D" w:rsidP="009B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4B49" w14:textId="77777777" w:rsidR="00E25D4D" w:rsidRDefault="00E25D4D" w:rsidP="009B72D0">
    <w:pPr>
      <w:spacing w:before="11"/>
      <w:rPr>
        <w:rFonts w:ascii="Times New Roman" w:eastAsia="Times New Roman" w:hAnsi="Times New Roman" w:cs="Times New Roman"/>
        <w:sz w:val="26"/>
        <w:szCs w:val="26"/>
      </w:rPr>
    </w:pPr>
  </w:p>
  <w:p w14:paraId="751B2228" w14:textId="77777777" w:rsidR="00E25D4D" w:rsidRDefault="00E25D4D" w:rsidP="009B7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974DC" w14:textId="77777777" w:rsidR="00E25D4D" w:rsidRDefault="00E25D4D" w:rsidP="009B72D0">
      <w:r>
        <w:separator/>
      </w:r>
    </w:p>
  </w:footnote>
  <w:footnote w:type="continuationSeparator" w:id="0">
    <w:p w14:paraId="320734D7" w14:textId="77777777" w:rsidR="00E25D4D" w:rsidRDefault="00E25D4D" w:rsidP="009B7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8402" w14:textId="77777777" w:rsidR="006027FA" w:rsidRDefault="00DF0C66">
    <w:pPr>
      <w:pStyle w:val="Header"/>
    </w:pPr>
    <w:r>
      <w:rPr>
        <w:noProof/>
      </w:rPr>
      <w:pict w14:anchorId="7A500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218344" o:spid="_x0000_s18440" type="#_x0000_t75" style="position:absolute;margin-left:0;margin-top:0;width:630pt;height:810pt;z-index:-251657216;mso-position-horizontal:center;mso-position-horizontal-relative:margin;mso-position-vertical:center;mso-position-vertical-relative:margin" o:allowincell="f">
          <v:imagedata r:id="rId1" o:title="RCC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1B34" w14:textId="77777777" w:rsidR="00E25D4D" w:rsidRDefault="00DF0C66" w:rsidP="009B72D0">
    <w:pPr>
      <w:pStyle w:val="BodyText"/>
      <w:tabs>
        <w:tab w:val="left" w:pos="1514"/>
      </w:tabs>
      <w:spacing w:line="200" w:lineRule="atLeast"/>
    </w:pPr>
    <w:r>
      <w:rPr>
        <w:noProof/>
        <w:position w:val="2"/>
      </w:rPr>
      <w:pict w14:anchorId="6A52F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218345" o:spid="_x0000_s18441" type="#_x0000_t75" style="position:absolute;left:0;text-align:left;margin-left:0;margin-top:0;width:630pt;height:810pt;z-index:-251656192;mso-position-horizontal:center;mso-position-horizontal-relative:margin;mso-position-vertical:center;mso-position-vertical-relative:margin" o:allowincell="f">
          <v:imagedata r:id="rId1" o:title="RCCLetterhead"/>
          <w10:wrap anchorx="margin" anchory="margin"/>
        </v:shape>
      </w:pict>
    </w:r>
    <w:r w:rsidR="00E25D4D">
      <w:rPr>
        <w:position w:val="2"/>
      </w:rPr>
      <w:tab/>
    </w:r>
  </w:p>
  <w:p w14:paraId="6B187839" w14:textId="77777777" w:rsidR="00E25D4D" w:rsidRDefault="00E25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BBFF" w14:textId="77777777" w:rsidR="006027FA" w:rsidRDefault="00DF0C66">
    <w:pPr>
      <w:pStyle w:val="Header"/>
    </w:pPr>
    <w:r>
      <w:rPr>
        <w:noProof/>
      </w:rPr>
      <w:pict w14:anchorId="0CB62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218343" o:spid="_x0000_s18439" type="#_x0000_t75" style="position:absolute;margin-left:0;margin-top:0;width:630pt;height:810pt;z-index:-251658240;mso-position-horizontal:center;mso-position-horizontal-relative:margin;mso-position-vertical:center;mso-position-vertical-relative:margin" o:allowincell="f">
          <v:imagedata r:id="rId1" o:title="RCC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141"/>
    <w:multiLevelType w:val="multilevel"/>
    <w:tmpl w:val="1AD8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C34AE"/>
    <w:multiLevelType w:val="multilevel"/>
    <w:tmpl w:val="1AD8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A1295"/>
    <w:multiLevelType w:val="hybridMultilevel"/>
    <w:tmpl w:val="2C1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318DC"/>
    <w:multiLevelType w:val="multilevel"/>
    <w:tmpl w:val="1AD8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346ED"/>
    <w:multiLevelType w:val="multilevel"/>
    <w:tmpl w:val="1AD8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6E1342"/>
    <w:multiLevelType w:val="hybridMultilevel"/>
    <w:tmpl w:val="37F066F6"/>
    <w:lvl w:ilvl="0" w:tplc="D9FC5966">
      <w:start w:val="2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361184">
    <w:abstractNumId w:val="2"/>
  </w:num>
  <w:num w:numId="2" w16cid:durableId="316106509">
    <w:abstractNumId w:val="5"/>
  </w:num>
  <w:num w:numId="3" w16cid:durableId="499735872">
    <w:abstractNumId w:val="0"/>
  </w:num>
  <w:num w:numId="4" w16cid:durableId="1937714840">
    <w:abstractNumId w:val="1"/>
  </w:num>
  <w:num w:numId="5" w16cid:durableId="1914122699">
    <w:abstractNumId w:val="4"/>
  </w:num>
  <w:num w:numId="6" w16cid:durableId="1282496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8442"/>
    <o:shapelayout v:ext="edit">
      <o:idmap v:ext="edit" data="18"/>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A7"/>
    <w:rsid w:val="000B098B"/>
    <w:rsid w:val="001B084A"/>
    <w:rsid w:val="001C7323"/>
    <w:rsid w:val="00200D3B"/>
    <w:rsid w:val="002870F9"/>
    <w:rsid w:val="002A0499"/>
    <w:rsid w:val="00370F35"/>
    <w:rsid w:val="004079D7"/>
    <w:rsid w:val="00544A1D"/>
    <w:rsid w:val="00586D91"/>
    <w:rsid w:val="005E76A0"/>
    <w:rsid w:val="005F39E3"/>
    <w:rsid w:val="006027FA"/>
    <w:rsid w:val="006733A9"/>
    <w:rsid w:val="006D45B6"/>
    <w:rsid w:val="00862F32"/>
    <w:rsid w:val="00981ADD"/>
    <w:rsid w:val="009B72D0"/>
    <w:rsid w:val="00A43C30"/>
    <w:rsid w:val="00A94204"/>
    <w:rsid w:val="00AC2CB8"/>
    <w:rsid w:val="00AC3FEC"/>
    <w:rsid w:val="00AD3A36"/>
    <w:rsid w:val="00B85CA7"/>
    <w:rsid w:val="00C40643"/>
    <w:rsid w:val="00C4248B"/>
    <w:rsid w:val="00CA33E2"/>
    <w:rsid w:val="00DF0C66"/>
    <w:rsid w:val="00E25D4D"/>
    <w:rsid w:val="00E85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42"/>
    <o:shapelayout v:ext="edit">
      <o:idmap v:ext="edit" data="1"/>
    </o:shapelayout>
  </w:shapeDefaults>
  <w:decimalSymbol w:val="."/>
  <w:listSeparator w:val=","/>
  <w14:docId w14:val="685BFEC5"/>
  <w15:docId w15:val="{46913607-28A7-4C93-9C4D-C99603B8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72D0"/>
    <w:pPr>
      <w:tabs>
        <w:tab w:val="center" w:pos="4680"/>
        <w:tab w:val="right" w:pos="9360"/>
      </w:tabs>
    </w:pPr>
  </w:style>
  <w:style w:type="character" w:customStyle="1" w:styleId="HeaderChar">
    <w:name w:val="Header Char"/>
    <w:basedOn w:val="DefaultParagraphFont"/>
    <w:link w:val="Header"/>
    <w:uiPriority w:val="99"/>
    <w:rsid w:val="009B72D0"/>
  </w:style>
  <w:style w:type="paragraph" w:styleId="Footer">
    <w:name w:val="footer"/>
    <w:basedOn w:val="Normal"/>
    <w:link w:val="FooterChar"/>
    <w:uiPriority w:val="99"/>
    <w:unhideWhenUsed/>
    <w:rsid w:val="009B72D0"/>
    <w:pPr>
      <w:tabs>
        <w:tab w:val="center" w:pos="4680"/>
        <w:tab w:val="right" w:pos="9360"/>
      </w:tabs>
    </w:pPr>
  </w:style>
  <w:style w:type="character" w:customStyle="1" w:styleId="FooterChar">
    <w:name w:val="Footer Char"/>
    <w:basedOn w:val="DefaultParagraphFont"/>
    <w:link w:val="Footer"/>
    <w:uiPriority w:val="99"/>
    <w:rsid w:val="009B72D0"/>
  </w:style>
  <w:style w:type="character" w:styleId="Hyperlink">
    <w:name w:val="Hyperlink"/>
    <w:basedOn w:val="DefaultParagraphFont"/>
    <w:uiPriority w:val="99"/>
    <w:unhideWhenUsed/>
    <w:rsid w:val="00C4248B"/>
    <w:rPr>
      <w:color w:val="0000FF" w:themeColor="hyperlink"/>
      <w:u w:val="single"/>
    </w:rPr>
  </w:style>
  <w:style w:type="paragraph" w:customStyle="1" w:styleId="paragraph">
    <w:name w:val="paragraph"/>
    <w:basedOn w:val="Normal"/>
    <w:rsid w:val="00C4248B"/>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8543E"/>
    <w:rPr>
      <w:b/>
      <w:bCs/>
    </w:rPr>
  </w:style>
  <w:style w:type="paragraph" w:styleId="NormalWeb">
    <w:name w:val="Normal (Web)"/>
    <w:basedOn w:val="Normal"/>
    <w:uiPriority w:val="99"/>
    <w:semiHidden/>
    <w:unhideWhenUsed/>
    <w:rsid w:val="00E8543E"/>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D4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330534">
      <w:bodyDiv w:val="1"/>
      <w:marLeft w:val="0"/>
      <w:marRight w:val="0"/>
      <w:marTop w:val="0"/>
      <w:marBottom w:val="0"/>
      <w:divBdr>
        <w:top w:val="none" w:sz="0" w:space="0" w:color="auto"/>
        <w:left w:val="none" w:sz="0" w:space="0" w:color="auto"/>
        <w:bottom w:val="none" w:sz="0" w:space="0" w:color="auto"/>
        <w:right w:val="none" w:sz="0" w:space="0" w:color="auto"/>
      </w:divBdr>
    </w:div>
    <w:div w:id="1560165029">
      <w:bodyDiv w:val="1"/>
      <w:marLeft w:val="0"/>
      <w:marRight w:val="0"/>
      <w:marTop w:val="0"/>
      <w:marBottom w:val="0"/>
      <w:divBdr>
        <w:top w:val="none" w:sz="0" w:space="0" w:color="auto"/>
        <w:left w:val="none" w:sz="0" w:space="0" w:color="auto"/>
        <w:bottom w:val="none" w:sz="0" w:space="0" w:color="auto"/>
        <w:right w:val="none" w:sz="0" w:space="0" w:color="auto"/>
      </w:divBdr>
      <w:divsChild>
        <w:div w:id="2137136893">
          <w:marLeft w:val="0"/>
          <w:marRight w:val="0"/>
          <w:marTop w:val="0"/>
          <w:marBottom w:val="0"/>
          <w:divBdr>
            <w:top w:val="none" w:sz="0" w:space="0" w:color="auto"/>
            <w:left w:val="none" w:sz="0" w:space="0" w:color="auto"/>
            <w:bottom w:val="none" w:sz="0" w:space="0" w:color="auto"/>
            <w:right w:val="none" w:sz="0" w:space="0" w:color="auto"/>
          </w:divBdr>
          <w:divsChild>
            <w:div w:id="1657683074">
              <w:marLeft w:val="0"/>
              <w:marRight w:val="0"/>
              <w:marTop w:val="0"/>
              <w:marBottom w:val="0"/>
              <w:divBdr>
                <w:top w:val="none" w:sz="0" w:space="0" w:color="auto"/>
                <w:left w:val="none" w:sz="0" w:space="0" w:color="auto"/>
                <w:bottom w:val="none" w:sz="0" w:space="0" w:color="auto"/>
                <w:right w:val="none" w:sz="0" w:space="0" w:color="auto"/>
              </w:divBdr>
            </w:div>
            <w:div w:id="1828398186">
              <w:marLeft w:val="0"/>
              <w:marRight w:val="0"/>
              <w:marTop w:val="0"/>
              <w:marBottom w:val="0"/>
              <w:divBdr>
                <w:top w:val="none" w:sz="0" w:space="0" w:color="auto"/>
                <w:left w:val="none" w:sz="0" w:space="0" w:color="auto"/>
                <w:bottom w:val="none" w:sz="0" w:space="0" w:color="auto"/>
                <w:right w:val="none" w:sz="0" w:space="0" w:color="auto"/>
              </w:divBdr>
            </w:div>
            <w:div w:id="15990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06222">
      <w:bodyDiv w:val="1"/>
      <w:marLeft w:val="0"/>
      <w:marRight w:val="0"/>
      <w:marTop w:val="0"/>
      <w:marBottom w:val="0"/>
      <w:divBdr>
        <w:top w:val="none" w:sz="0" w:space="0" w:color="auto"/>
        <w:left w:val="none" w:sz="0" w:space="0" w:color="auto"/>
        <w:bottom w:val="none" w:sz="0" w:space="0" w:color="auto"/>
        <w:right w:val="none" w:sz="0" w:space="0" w:color="auto"/>
      </w:divBdr>
      <w:divsChild>
        <w:div w:id="14969221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C8FD1-008E-42FB-B06D-B533AFC5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1535</Words>
  <Characters>8750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Richland Community College</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Roark</dc:creator>
  <cp:lastModifiedBy>Madonna Brown</cp:lastModifiedBy>
  <cp:revision>2</cp:revision>
  <cp:lastPrinted>2023-03-30T19:56:00Z</cp:lastPrinted>
  <dcterms:created xsi:type="dcterms:W3CDTF">2025-09-15T13:36:00Z</dcterms:created>
  <dcterms:modified xsi:type="dcterms:W3CDTF">2025-09-15T13:36:00Z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LastSaved">
    <vt:filetime>2023-01-12T00:00:00Z</vt:filetime>
  </property>
</Properties>
</file>